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description of the Deliverables as set out in Framework Schedule 1 (Specification); and</w:t>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sz w:val="24"/>
          <w:szCs w:val="24"/>
        </w:rPr>
      </w:pPr>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p>
    <w:p w:rsidR="00000000" w:rsidDel="00000000" w:rsidP="00000000" w:rsidRDefault="00000000" w:rsidRPr="00000000" w14:paraId="00000010">
      <w:pPr>
        <w:widowControl w:val="1"/>
        <w:numPr>
          <w:ilvl w:val="2"/>
          <w:numId w:val="2"/>
        </w:numPr>
        <w:tabs>
          <w:tab w:val="left" w:leader="none" w:pos="3641"/>
        </w:tabs>
        <w:spacing w:after="120" w:before="120" w:lineRule="auto"/>
        <w:ind w:left="1700" w:hanging="990"/>
        <w:rPr>
          <w:rFonts w:ascii="Arial" w:cs="Arial" w:eastAsia="Arial" w:hAnsi="Arial"/>
        </w:rPr>
      </w:pPr>
      <w:r w:rsidDel="00000000" w:rsidR="00000000" w:rsidRPr="00000000">
        <w:rPr>
          <w:rFonts w:ascii="Arial" w:cs="Arial" w:eastAsia="Arial" w:hAnsi="Arial"/>
          <w:sz w:val="24"/>
          <w:szCs w:val="24"/>
          <w:rtl w:val="0"/>
        </w:rPr>
        <w:t xml:space="preserve">apply the direct award criteria to the Suppliers’ description of the Deliverables as set out in Framework Schedule 1 (Specification) to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3641"/>
        </w:tabs>
        <w:spacing w:after="120" w:before="120"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2"/>
        </w:numPr>
        <w:tabs>
          <w:tab w:val="left" w:leader="none" w:pos="3641"/>
        </w:tabs>
        <w:spacing w:after="120" w:before="120" w:lineRule="auto"/>
        <w:ind w:left="1700" w:hanging="990"/>
        <w:rPr>
          <w:rFonts w:ascii="Arial" w:cs="Arial" w:eastAsia="Arial" w:hAnsi="Arial"/>
          <w:color w:val="000000"/>
        </w:rPr>
      </w:pPr>
      <w:r w:rsidDel="00000000" w:rsidR="00000000" w:rsidRPr="00000000">
        <w:rPr>
          <w:rFonts w:ascii="Arial" w:cs="Arial" w:eastAsia="Arial" w:hAnsi="Arial"/>
          <w:sz w:val="24"/>
          <w:szCs w:val="24"/>
          <w:rtl w:val="0"/>
        </w:rPr>
        <w:t xml:space="preserve">develop a Statement of Requirements setting out its requirements for the Deliverables and use the filtering tool to identify the Suppliers capable of supplying the Service Lines relevant to the Statement of Requirements;</w:t>
      </w:r>
      <w:r w:rsidDel="00000000" w:rsidR="00000000" w:rsidRPr="00000000">
        <w:rPr>
          <w:rtl w:val="0"/>
        </w:rPr>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p>
    <w:p w:rsidR="00000000" w:rsidDel="00000000" w:rsidP="00000000" w:rsidRDefault="00000000" w:rsidRPr="00000000" w14:paraId="0000002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rPr>
      </w:pPr>
      <w:bookmarkStart w:colFirst="0" w:colLast="0" w:name="_heading=h.8vynbl2ghmnb" w:id="5"/>
      <w:bookmarkEnd w:id="5"/>
      <w:r w:rsidDel="00000000" w:rsidR="00000000" w:rsidRPr="00000000">
        <w:rPr>
          <w:rFonts w:ascii="Arial" w:cs="Arial" w:eastAsia="Arial" w:hAnsi="Arial"/>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28">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rPr>
      </w:pPr>
      <w:bookmarkStart w:colFirst="0" w:colLast="0" w:name="_heading=h.k567hf806tcl" w:id="6"/>
      <w:bookmarkEnd w:id="6"/>
      <w:r w:rsidDel="00000000" w:rsidR="00000000" w:rsidRPr="00000000">
        <w:rPr>
          <w:rFonts w:ascii="Arial" w:cs="Arial" w:eastAsia="Arial" w:hAnsi="Arial"/>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2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2">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3">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4">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5">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6">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37">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8">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9">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A">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B">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D">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E">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F">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0">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1">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2">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4">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5">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6">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7">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8">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B">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D">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E">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1">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4">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5">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5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7">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8">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170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D">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75"/>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F">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left" w:leader="none" w:pos="3054"/>
        </w:tabs>
        <w:spacing w:after="120" w:before="120" w:lineRule="auto"/>
        <w:ind w:left="0" w:firstLine="0"/>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1">
      <w:pPr>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2">
      <w:pPr>
        <w:widowControl w:val="1"/>
        <w:numPr>
          <w:ilvl w:val="0"/>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3">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keepNext w:val="1"/>
        <w:widowControl w:val="1"/>
        <w:pBdr>
          <w:top w:space="0" w:sz="0" w:val="nil"/>
          <w:left w:space="0" w:sz="0" w:val="nil"/>
          <w:bottom w:space="0" w:sz="0" w:val="nil"/>
          <w:right w:space="0" w:sz="0" w:val="nil"/>
          <w:between w:space="0" w:sz="0" w:val="nil"/>
        </w:pBdr>
        <w:spacing w:after="240" w:before="240" w:lineRule="auto"/>
        <w:ind w:left="0"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percentage weightings for price, quality and social value (if applicable) should total 100%]</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5"/>
        <w:gridCol w:w="6540"/>
        <w:tblGridChange w:id="0">
          <w:tblGrid>
            <w:gridCol w:w="2325"/>
            <w:gridCol w:w="654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7">
            <w:pPr>
              <w:widowControl w:val="1"/>
              <w:tabs>
                <w:tab w:val="left" w:leader="none" w:pos="851"/>
              </w:tabs>
              <w:spacing w:after="120" w:before="120" w:lineRule="auto"/>
              <w:ind w:left="2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20.0" w:type="dxa"/>
            </w:tcMar>
          </w:tcPr>
          <w:p w:rsidR="00000000" w:rsidDel="00000000" w:rsidP="00000000" w:rsidRDefault="00000000" w:rsidRPr="00000000" w14:paraId="00000068">
            <w:pPr>
              <w:widowControl w:val="1"/>
              <w:tabs>
                <w:tab w:val="left" w:leader="none" w:pos="851"/>
              </w:tabs>
              <w:spacing w:after="200" w:before="120" w:line="276" w:lineRule="auto"/>
              <w:ind w:left="-120" w:firstLine="0"/>
              <w:jc w:val="both"/>
              <w:rPr>
                <w:rFonts w:ascii="Arial" w:cs="Arial" w:eastAsia="Arial" w:hAnsi="Arial"/>
                <w:sz w:val="24"/>
                <w:szCs w:val="24"/>
                <w:highlight w:val="red"/>
              </w:rPr>
            </w:pPr>
            <w:r w:rsidDel="00000000" w:rsidR="00000000" w:rsidRPr="00000000">
              <w:rPr>
                <w:rFonts w:ascii="Arial" w:cs="Arial" w:eastAsia="Arial" w:hAnsi="Arial"/>
                <w:b w:val="1"/>
                <w:sz w:val="24"/>
                <w:szCs w:val="24"/>
                <w:rtl w:val="0"/>
              </w:rPr>
              <w:t xml:space="preserve">  Relative weighting percentage (0% to 100%)</w:t>
            </w:r>
            <w:r w:rsidDel="00000000" w:rsidR="00000000" w:rsidRPr="00000000">
              <w:rPr>
                <w:rtl w:val="0"/>
              </w:rPr>
            </w:r>
          </w:p>
        </w:tc>
      </w:tr>
      <w:tr>
        <w:trPr>
          <w:cantSplit w:val="0"/>
          <w:trHeight w:val="169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69">
            <w:pPr>
              <w:widowControl w:val="1"/>
              <w:tabs>
                <w:tab w:val="left" w:leader="none" w:pos="851"/>
              </w:tabs>
              <w:spacing w:after="280" w:before="120" w:line="249.60000000000002" w:lineRule="auto"/>
              <w:ind w:left="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Buyer believes that the Supplier provides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the most economically advantageous tender, which may include but is not limited to:</w:t>
            </w:r>
          </w:p>
          <w:p w:rsidR="00000000" w:rsidDel="00000000" w:rsidP="00000000" w:rsidRDefault="00000000" w:rsidRPr="00000000" w14:paraId="0000006A">
            <w:pPr>
              <w:widowControl w:val="1"/>
              <w:numPr>
                <w:ilvl w:val="0"/>
                <w:numId w:val="4"/>
              </w:numPr>
              <w:tabs>
                <w:tab w:val="left" w:leader="none" w:pos="851"/>
              </w:tabs>
              <w:spacing w:after="0" w:afterAutospacing="0" w:before="120" w:line="249.60000000000002" w:lineRule="auto"/>
              <w:ind w:left="720" w:hanging="360"/>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cost effectiveness </w:t>
            </w:r>
          </w:p>
          <w:p w:rsidR="00000000" w:rsidDel="00000000" w:rsidP="00000000" w:rsidRDefault="00000000" w:rsidRPr="00000000" w14:paraId="0000006B">
            <w:pPr>
              <w:widowControl w:val="1"/>
              <w:numPr>
                <w:ilvl w:val="0"/>
                <w:numId w:val="4"/>
              </w:numPr>
              <w:tabs>
                <w:tab w:val="left" w:leader="none" w:pos="851"/>
              </w:tabs>
              <w:spacing w:after="0" w:afterAutospacing="0" w:before="0" w:beforeAutospacing="0" w:line="249.60000000000002" w:lineRule="auto"/>
              <w:ind w:left="720" w:hanging="360"/>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price </w:t>
            </w:r>
          </w:p>
          <w:p w:rsidR="00000000" w:rsidDel="00000000" w:rsidP="00000000" w:rsidRDefault="00000000" w:rsidRPr="00000000" w14:paraId="0000006C">
            <w:pPr>
              <w:widowControl w:val="1"/>
              <w:numPr>
                <w:ilvl w:val="0"/>
                <w:numId w:val="4"/>
              </w:numPr>
              <w:tabs>
                <w:tab w:val="left" w:leader="none" w:pos="851"/>
              </w:tabs>
              <w:spacing w:after="0" w:afterAutospacing="0" w:before="0" w:beforeAutospacing="0" w:lineRule="auto"/>
              <w:ind w:left="720" w:hanging="360"/>
              <w:jc w:val="both"/>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quality</w:t>
            </w:r>
          </w:p>
          <w:p w:rsidR="00000000" w:rsidDel="00000000" w:rsidP="00000000" w:rsidRDefault="00000000" w:rsidRPr="00000000" w14:paraId="0000006D">
            <w:pPr>
              <w:widowControl w:val="1"/>
              <w:numPr>
                <w:ilvl w:val="0"/>
                <w:numId w:val="4"/>
              </w:numPr>
              <w:tabs>
                <w:tab w:val="left" w:leader="none" w:pos="851"/>
              </w:tabs>
              <w:spacing w:after="0" w:afterAutospacing="0" w:before="0" w:beforeAutospacing="0" w:lineRule="auto"/>
              <w:ind w:left="720" w:hanging="360"/>
              <w:jc w:val="both"/>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social value </w:t>
            </w:r>
          </w:p>
          <w:p w:rsidR="00000000" w:rsidDel="00000000" w:rsidP="00000000" w:rsidRDefault="00000000" w:rsidRPr="00000000" w14:paraId="0000006E">
            <w:pPr>
              <w:widowControl w:val="1"/>
              <w:numPr>
                <w:ilvl w:val="0"/>
                <w:numId w:val="4"/>
              </w:numPr>
              <w:tabs>
                <w:tab w:val="left" w:leader="none" w:pos="851"/>
              </w:tabs>
              <w:spacing w:after="120" w:before="0" w:beforeAutospacing="0" w:lineRule="auto"/>
              <w:ind w:left="720" w:hanging="360"/>
              <w:jc w:val="both"/>
              <w:rPr>
                <w:rFonts w:ascii="Arial" w:cs="Arial" w:eastAsia="Arial" w:hAnsi="Arial"/>
                <w:sz w:val="24"/>
                <w:szCs w:val="24"/>
                <w:highlight w:val="white"/>
                <w:u w:val="none"/>
              </w:rPr>
            </w:pPr>
            <w:r w:rsidDel="00000000" w:rsidR="00000000" w:rsidRPr="00000000">
              <w:rPr>
                <w:rFonts w:ascii="Arial" w:cs="Arial" w:eastAsia="Arial" w:hAnsi="Arial"/>
                <w:sz w:val="24"/>
                <w:szCs w:val="24"/>
                <w:highlight w:val="white"/>
                <w:rtl w:val="0"/>
              </w:rPr>
              <w:t xml:space="preserve">value for money </w:t>
            </w:r>
            <w:r w:rsidDel="00000000" w:rsidR="00000000" w:rsidRPr="00000000">
              <w:rPr>
                <w:rFonts w:ascii="Arial" w:cs="Arial" w:eastAsia="Arial" w:hAnsi="Arial"/>
                <w:sz w:val="24"/>
                <w:szCs w:val="24"/>
                <w:highlight w:val="red"/>
                <w:rtl w:val="0"/>
              </w:rPr>
              <w:t xml:space="preserve"> </w:t>
            </w:r>
            <w:r w:rsidDel="00000000" w:rsidR="00000000" w:rsidRPr="00000000">
              <w:rPr>
                <w:rtl w:val="0"/>
              </w:rPr>
            </w:r>
          </w:p>
        </w:tc>
      </w:tr>
    </w:tbl>
    <w:p w:rsidR="00000000" w:rsidDel="00000000" w:rsidP="00000000" w:rsidRDefault="00000000" w:rsidRPr="00000000" w14:paraId="00000070">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72">
      <w:pPr>
        <w:widowControl w:val="1"/>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percentage weightings for price, quality and social value (if applicable) should total 100%. The Buyer shall select the quality sub criteria from the list below which best meets their requirements.</w:t>
      </w:r>
    </w:p>
    <w:p w:rsidR="00000000" w:rsidDel="00000000" w:rsidP="00000000" w:rsidRDefault="00000000" w:rsidRPr="00000000" w14:paraId="00000073">
      <w:pPr>
        <w:widowControl w:val="1"/>
        <w:tabs>
          <w:tab w:val="left" w:leader="none" w:pos="851"/>
        </w:tabs>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a Buyer does not use relative percentage weightings then the percentage weightings shall not apply.]</w:t>
      </w:r>
    </w:p>
    <w:tbl>
      <w:tblPr>
        <w:tblStyle w:val="Table2"/>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4560"/>
        <w:tblGridChange w:id="0">
          <w:tblGrid>
            <w:gridCol w:w="4305"/>
            <w:gridCol w:w="4560"/>
          </w:tblGrid>
        </w:tblGridChange>
      </w:tblGrid>
      <w:tr>
        <w:trPr>
          <w:cantSplit w:val="0"/>
          <w:trHeight w:val="615" w:hRule="atLeast"/>
          <w:tblHeader w:val="1"/>
        </w:trPr>
        <w:tc>
          <w:tcPr>
            <w:tcBorders>
              <w:top w:color="000000" w:space="0" w:sz="6" w:val="single"/>
              <w:left w:color="000000" w:space="0" w:sz="6" w:val="single"/>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4">
            <w:pPr>
              <w:widowControl w:val="1"/>
              <w:tabs>
                <w:tab w:val="left" w:leader="none" w:pos="851"/>
              </w:tabs>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tcBorders>
              <w:top w:color="000000" w:space="0" w:sz="6" w:val="single"/>
              <w:left w:color="000000" w:space="0" w:sz="0" w:val="nil"/>
              <w:bottom w:color="000000" w:space="0" w:sz="6" w:val="single"/>
              <w:right w:color="000000" w:space="0" w:sz="6" w:val="single"/>
            </w:tcBorders>
            <w:shd w:fill="e7e6e6" w:val="clear"/>
            <w:tcMar>
              <w:top w:w="0.0" w:type="dxa"/>
              <w:left w:w="120.0" w:type="dxa"/>
              <w:bottom w:w="0.0" w:type="dxa"/>
              <w:right w:w="100.0" w:type="dxa"/>
            </w:tcMar>
          </w:tcPr>
          <w:p w:rsidR="00000000" w:rsidDel="00000000" w:rsidP="00000000" w:rsidRDefault="00000000" w:rsidRPr="00000000" w14:paraId="00000075">
            <w:pPr>
              <w:widowControl w:val="1"/>
              <w:tabs>
                <w:tab w:val="left" w:leader="none" w:pos="851"/>
              </w:tabs>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Percentage Weightings </w:t>
            </w:r>
          </w:p>
          <w:p w:rsidR="00000000" w:rsidDel="00000000" w:rsidP="00000000" w:rsidRDefault="00000000" w:rsidRPr="00000000" w14:paraId="00000076">
            <w:pPr>
              <w:widowControl w:val="1"/>
              <w:tabs>
                <w:tab w:val="left" w:leader="none" w:pos="851"/>
              </w:tabs>
              <w:spacing w:after="120" w:before="240" w:lineRule="auto"/>
              <w:ind w:left="20" w:right="224.7637795275591" w:firstLine="0"/>
              <w:rPr>
                <w:rFonts w:ascii="Arial" w:cs="Arial" w:eastAsia="Arial" w:hAnsi="Arial"/>
                <w:b w:val="1"/>
                <w:sz w:val="24"/>
                <w:szCs w:val="24"/>
                <w:highlight w:val="yellow"/>
              </w:rPr>
            </w:pPr>
            <w:r w:rsidDel="00000000" w:rsidR="00000000" w:rsidRPr="00000000">
              <w:rPr>
                <w:rFonts w:ascii="Arial" w:cs="Arial" w:eastAsia="Arial" w:hAnsi="Arial"/>
                <w:b w:val="1"/>
                <w:sz w:val="24"/>
                <w:szCs w:val="24"/>
                <w:rtl w:val="0"/>
              </w:rPr>
              <w:t xml:space="preserve">Buyers can choose a percentage weighting to meet their requirements. </w:t>
            </w:r>
            <w:r w:rsidDel="00000000" w:rsidR="00000000" w:rsidRPr="00000000">
              <w:rPr>
                <w:rtl w:val="0"/>
              </w:rPr>
            </w:r>
          </w:p>
        </w:tc>
      </w:tr>
      <w:tr>
        <w:trPr>
          <w:cantSplit w:val="0"/>
          <w:trHeight w:val="16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77">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8">
            <w:pPr>
              <w:widowControl w:val="1"/>
              <w:numPr>
                <w:ilvl w:val="0"/>
                <w:numId w:val="1"/>
              </w:numPr>
              <w:tabs>
                <w:tab w:val="left" w:leader="none" w:pos="851"/>
              </w:tabs>
              <w:spacing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 criteria: </w:t>
            </w:r>
          </w:p>
          <w:p w:rsidR="00000000" w:rsidDel="00000000" w:rsidP="00000000" w:rsidRDefault="00000000" w:rsidRPr="00000000" w14:paraId="00000079">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[Knowledge transfer]</w:t>
            </w:r>
            <w:r w:rsidDel="00000000" w:rsidR="00000000" w:rsidRPr="00000000">
              <w:rPr>
                <w:rtl w:val="0"/>
              </w:rPr>
            </w:r>
          </w:p>
          <w:p w:rsidR="00000000" w:rsidDel="00000000" w:rsidP="00000000" w:rsidRDefault="00000000" w:rsidRPr="00000000" w14:paraId="0000007A">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[Methodology and approach]</w:t>
            </w:r>
            <w:r w:rsidDel="00000000" w:rsidR="00000000" w:rsidRPr="00000000">
              <w:rPr>
                <w:rtl w:val="0"/>
              </w:rPr>
            </w:r>
          </w:p>
          <w:p w:rsidR="00000000" w:rsidDel="00000000" w:rsidP="00000000" w:rsidRDefault="00000000" w:rsidRPr="00000000" w14:paraId="0000007B">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[Mobilisation] </w:t>
            </w:r>
            <w:r w:rsidDel="00000000" w:rsidR="00000000" w:rsidRPr="00000000">
              <w:rPr>
                <w:rtl w:val="0"/>
              </w:rPr>
            </w:r>
          </w:p>
          <w:p w:rsidR="00000000" w:rsidDel="00000000" w:rsidP="00000000" w:rsidRDefault="00000000" w:rsidRPr="00000000" w14:paraId="0000007C">
            <w:pPr>
              <w:widowControl w:val="1"/>
              <w:numPr>
                <w:ilvl w:val="1"/>
                <w:numId w:val="1"/>
              </w:numPr>
              <w:shd w:fill="ffffff" w:val="clea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[Project management]</w:t>
            </w:r>
            <w:r w:rsidDel="00000000" w:rsidR="00000000" w:rsidRPr="00000000">
              <w:rPr>
                <w:rtl w:val="0"/>
              </w:rPr>
            </w:r>
          </w:p>
          <w:p w:rsidR="00000000" w:rsidDel="00000000" w:rsidP="00000000" w:rsidRDefault="00000000" w:rsidRPr="00000000" w14:paraId="0000007D">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[Resource allocation]   </w:t>
            </w:r>
            <w:r w:rsidDel="00000000" w:rsidR="00000000" w:rsidRPr="00000000">
              <w:rPr>
                <w:rtl w:val="0"/>
              </w:rPr>
            </w:r>
          </w:p>
          <w:p w:rsidR="00000000" w:rsidDel="00000000" w:rsidP="00000000" w:rsidRDefault="00000000" w:rsidRPr="00000000" w14:paraId="0000007E">
            <w:pPr>
              <w:widowControl w:val="1"/>
              <w:numPr>
                <w:ilvl w:val="1"/>
                <w:numId w:val="1"/>
              </w:numPr>
              <w:shd w:fill="ffffff" w:val="clear"/>
              <w:tabs>
                <w:tab w:val="left" w:leader="none" w:pos="851"/>
              </w:tabs>
              <w:ind w:left="1440" w:hanging="360"/>
              <w:jc w:val="both"/>
              <w:rPr>
                <w:rFonts w:ascii="Arial" w:cs="Arial" w:eastAsia="Arial" w:hAnsi="Arial"/>
                <w:color w:val="222222"/>
                <w:sz w:val="24"/>
                <w:szCs w:val="24"/>
              </w:rPr>
            </w:pPr>
            <w:r w:rsidDel="00000000" w:rsidR="00000000" w:rsidRPr="00000000">
              <w:rPr>
                <w:rFonts w:ascii="Arial" w:cs="Arial" w:eastAsia="Arial" w:hAnsi="Arial"/>
                <w:sz w:val="24"/>
                <w:szCs w:val="24"/>
                <w:highlight w:val="yellow"/>
                <w:rtl w:val="0"/>
              </w:rPr>
              <w:t xml:space="preserve">[Risk management] </w:t>
              <w:tab/>
            </w:r>
            <w:r w:rsidDel="00000000" w:rsidR="00000000" w:rsidRPr="00000000">
              <w:rPr>
                <w:rtl w:val="0"/>
              </w:rPr>
            </w:r>
          </w:p>
          <w:p w:rsidR="00000000" w:rsidDel="00000000" w:rsidP="00000000" w:rsidRDefault="00000000" w:rsidRPr="00000000" w14:paraId="0000007F">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[Stakeholder management] </w:t>
            </w:r>
            <w:r w:rsidDel="00000000" w:rsidR="00000000" w:rsidRPr="00000000">
              <w:rPr>
                <w:rtl w:val="0"/>
              </w:rPr>
            </w:r>
          </w:p>
          <w:p w:rsidR="00000000" w:rsidDel="00000000" w:rsidP="00000000" w:rsidRDefault="00000000" w:rsidRPr="00000000" w14:paraId="00000080">
            <w:pPr>
              <w:widowControl w:val="1"/>
              <w:numPr>
                <w:ilvl w:val="1"/>
                <w:numId w:val="1"/>
              </w:numPr>
              <w:tabs>
                <w:tab w:val="left" w:leader="none" w:pos="851"/>
              </w:tabs>
              <w:ind w:left="1440" w:hanging="36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[Supply chain] </w:t>
            </w:r>
            <w:r w:rsidDel="00000000" w:rsidR="00000000" w:rsidRPr="00000000">
              <w:rPr>
                <w:rtl w:val="0"/>
              </w:rPr>
            </w:r>
          </w:p>
          <w:p w:rsidR="00000000" w:rsidDel="00000000" w:rsidP="00000000" w:rsidRDefault="00000000" w:rsidRPr="00000000" w14:paraId="00000081">
            <w:pPr>
              <w:widowControl w:val="1"/>
              <w:numPr>
                <w:ilvl w:val="1"/>
                <w:numId w:val="1"/>
              </w:numPr>
              <w:tabs>
                <w:tab w:val="left" w:leader="none" w:pos="851"/>
              </w:tabs>
              <w:spacing w:after="120" w:lineRule="auto"/>
              <w:ind w:left="1440" w:hanging="36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yellow"/>
                <w:rtl w:val="0"/>
              </w:rPr>
              <w:t xml:space="preserve">[Technical requirements]</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2">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 </w:t>
            </w:r>
          </w:p>
          <w:p w:rsidR="00000000" w:rsidDel="00000000" w:rsidP="00000000" w:rsidRDefault="00000000" w:rsidRPr="00000000" w14:paraId="00000083">
            <w:pPr>
              <w:widowControl w:val="1"/>
              <w:tabs>
                <w:tab w:val="left" w:leader="none" w:pos="851"/>
              </w:tabs>
              <w:spacing w:after="120" w:before="24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The weighting for each sub criteria can range between (0% to 90%). The total sub criteria weighting should total your overall quality weighting and must be a minimum of 10% and a maximum of 90%. </w:t>
            </w:r>
          </w:p>
          <w:p w:rsidR="00000000" w:rsidDel="00000000" w:rsidP="00000000" w:rsidRDefault="00000000" w:rsidRPr="00000000" w14:paraId="00000084">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example, 75% quality weighting could be broken down as follows:</w:t>
            </w:r>
          </w:p>
          <w:p w:rsidR="00000000" w:rsidDel="00000000" w:rsidP="00000000" w:rsidRDefault="00000000" w:rsidRPr="00000000" w14:paraId="00000085">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Mobilisation = 25%</w:t>
            </w:r>
          </w:p>
          <w:p w:rsidR="00000000" w:rsidDel="00000000" w:rsidP="00000000" w:rsidRDefault="00000000" w:rsidRPr="00000000" w14:paraId="00000086">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Project management = 25%</w:t>
            </w:r>
          </w:p>
          <w:p w:rsidR="00000000" w:rsidDel="00000000" w:rsidP="00000000" w:rsidRDefault="00000000" w:rsidRPr="00000000" w14:paraId="00000087">
            <w:pPr>
              <w:widowControl w:val="1"/>
              <w:tabs>
                <w:tab w:val="left" w:leader="none" w:pos="851"/>
              </w:tabs>
              <w:spacing w:after="120" w:lineRule="auto"/>
              <w:ind w:left="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Supply chain = 25%]</w:t>
            </w:r>
          </w:p>
        </w:tc>
      </w:tr>
      <w:tr>
        <w:trPr>
          <w:cantSplit w:val="0"/>
          <w:trHeight w:val="72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8">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9">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 - 90%</w:t>
            </w:r>
          </w:p>
        </w:tc>
      </w:tr>
      <w:tr>
        <w:trPr>
          <w:cantSplit w:val="0"/>
          <w:trHeight w:val="1454"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8A">
            <w:pPr>
              <w:widowControl w:val="1"/>
              <w:tabs>
                <w:tab w:val="left" w:leader="none" w:pos="851"/>
              </w:tabs>
              <w:spacing w:after="120" w:before="240" w:lineRule="auto"/>
              <w:ind w:left="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p w:rsidR="00000000" w:rsidDel="00000000" w:rsidP="00000000" w:rsidRDefault="00000000" w:rsidRPr="00000000" w14:paraId="0000008B">
            <w:pPr>
              <w:widowControl w:val="1"/>
              <w:numPr>
                <w:ilvl w:val="0"/>
                <w:numId w:val="6"/>
              </w:numPr>
              <w:tabs>
                <w:tab w:val="left" w:leader="none" w:pos="851"/>
              </w:tabs>
              <w:spacing w:before="240" w:lineRule="auto"/>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[Theme 1: COVID-19 recovery]</w:t>
            </w:r>
            <w:r w:rsidDel="00000000" w:rsidR="00000000" w:rsidRPr="00000000">
              <w:rPr>
                <w:rtl w:val="0"/>
              </w:rPr>
            </w:r>
          </w:p>
          <w:p w:rsidR="00000000" w:rsidDel="00000000" w:rsidP="00000000" w:rsidRDefault="00000000" w:rsidRPr="00000000" w14:paraId="0000008C">
            <w:pPr>
              <w:widowControl w:val="1"/>
              <w:numPr>
                <w:ilvl w:val="0"/>
                <w:numId w:val="6"/>
              </w:numPr>
              <w:tabs>
                <w:tab w:val="left" w:leader="none" w:pos="851"/>
              </w:tabs>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[Theme 2: Tackling economic inequality]</w:t>
            </w:r>
            <w:r w:rsidDel="00000000" w:rsidR="00000000" w:rsidRPr="00000000">
              <w:rPr>
                <w:rtl w:val="0"/>
              </w:rPr>
            </w:r>
          </w:p>
          <w:p w:rsidR="00000000" w:rsidDel="00000000" w:rsidP="00000000" w:rsidRDefault="00000000" w:rsidRPr="00000000" w14:paraId="0000008D">
            <w:pPr>
              <w:widowControl w:val="1"/>
              <w:numPr>
                <w:ilvl w:val="0"/>
                <w:numId w:val="6"/>
              </w:numPr>
              <w:tabs>
                <w:tab w:val="left" w:leader="none" w:pos="851"/>
              </w:tabs>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[Theme 3: Fighting climate change]</w:t>
            </w:r>
            <w:r w:rsidDel="00000000" w:rsidR="00000000" w:rsidRPr="00000000">
              <w:rPr>
                <w:rtl w:val="0"/>
              </w:rPr>
            </w:r>
          </w:p>
          <w:p w:rsidR="00000000" w:rsidDel="00000000" w:rsidP="00000000" w:rsidRDefault="00000000" w:rsidRPr="00000000" w14:paraId="0000008E">
            <w:pPr>
              <w:widowControl w:val="1"/>
              <w:numPr>
                <w:ilvl w:val="0"/>
                <w:numId w:val="6"/>
              </w:numPr>
              <w:tabs>
                <w:tab w:val="left" w:leader="none" w:pos="851"/>
              </w:tabs>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[Theme 4: Equal opportunity]</w:t>
            </w:r>
            <w:r w:rsidDel="00000000" w:rsidR="00000000" w:rsidRPr="00000000">
              <w:rPr>
                <w:rtl w:val="0"/>
              </w:rPr>
            </w:r>
          </w:p>
          <w:p w:rsidR="00000000" w:rsidDel="00000000" w:rsidP="00000000" w:rsidRDefault="00000000" w:rsidRPr="00000000" w14:paraId="0000008F">
            <w:pPr>
              <w:widowControl w:val="1"/>
              <w:numPr>
                <w:ilvl w:val="0"/>
                <w:numId w:val="6"/>
              </w:numPr>
              <w:tabs>
                <w:tab w:val="left" w:leader="none" w:pos="851"/>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[Theme 5: Wellbeing]</w:t>
            </w: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20.0" w:type="dxa"/>
            </w:tcMar>
          </w:tcPr>
          <w:p w:rsidR="00000000" w:rsidDel="00000000" w:rsidP="00000000" w:rsidRDefault="00000000" w:rsidRPr="00000000" w14:paraId="00000090">
            <w:pPr>
              <w:widowControl w:val="1"/>
              <w:tabs>
                <w:tab w:val="left" w:leader="none" w:pos="851"/>
              </w:tabs>
              <w:spacing w:after="120" w:before="240" w:lineRule="auto"/>
              <w:ind w:left="-1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0% - 80%</w:t>
            </w:r>
          </w:p>
          <w:p w:rsidR="00000000" w:rsidDel="00000000" w:rsidP="00000000" w:rsidRDefault="00000000" w:rsidRPr="00000000" w14:paraId="00000091">
            <w:pPr>
              <w:widowControl w:val="1"/>
              <w:tabs>
                <w:tab w:val="left" w:leader="none" w:pos="851"/>
              </w:tabs>
              <w:spacing w:after="120" w:befor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A Central Government Body should comply with procurement policy note 06/20 and include a minimum of 10% weighting for social value]</w:t>
            </w:r>
          </w:p>
        </w:tc>
      </w:tr>
    </w:tbl>
    <w:p w:rsidR="00000000" w:rsidDel="00000000" w:rsidP="00000000" w:rsidRDefault="00000000" w:rsidRPr="00000000" w14:paraId="00000092">
      <w:pPr>
        <w:widowControl w:val="1"/>
        <w:tabs>
          <w:tab w:val="left" w:leader="none" w:pos="851"/>
        </w:tabs>
        <w:spacing w:after="240"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b w:val="1"/>
          <w:color w:val="ff0000"/>
          <w:sz w:val="24"/>
          <w:szCs w:val="24"/>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A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highlight w:val="yello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75"/>
      </w:pPr>
      <w:rPr>
        <w:b w:val="0"/>
        <w:i w:val="0"/>
        <w:smallCaps w:val="0"/>
        <w:strike w:val="0"/>
        <w:color w:val="00000a"/>
        <w:sz w:val="24"/>
        <w:szCs w:val="24"/>
        <w:u w:val="none"/>
        <w:vertAlign w:val="baseline"/>
      </w:rPr>
    </w:lvl>
    <w:lvl w:ilvl="2">
      <w:start w:val="1"/>
      <w:numFmt w:val="decimal"/>
      <w:lvlText w:val="%1.%2.%3"/>
      <w:lvlJc w:val="left"/>
      <w:pPr>
        <w:ind w:left="1700" w:hanging="99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6">
    <w:lvl w:ilvl="0">
      <w:start w:val="1"/>
      <w:numFmt w:val="bullet"/>
      <w:lvlText w:val="●"/>
      <w:lvlJc w:val="left"/>
      <w:pPr>
        <w:ind w:left="720" w:hanging="360"/>
      </w:pPr>
      <w:rPr>
        <w:highlight w:val="yello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8"/>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8"/>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8"/>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XnxxqW++r8Xjm6bvLTLYVW5e1w==">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2024-07-17T16:04:00Z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